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430" w:rsidRPr="00C92F6F" w:rsidRDefault="00F47430" w:rsidP="00F47430">
      <w:pPr>
        <w:pStyle w:val="Default"/>
        <w:rPr>
          <w:szCs w:val="23"/>
          <w:lang w:val="en-US"/>
        </w:rPr>
      </w:pPr>
      <w:r>
        <w:rPr>
          <w:b/>
          <w:lang w:val="en-US"/>
        </w:rPr>
        <w:t>Prolonging photoreceptor stimulation</w:t>
      </w:r>
      <w:r>
        <w:rPr>
          <w:szCs w:val="23"/>
          <w:lang w:val="en-US"/>
        </w:rPr>
        <w:tab/>
      </w:r>
      <w:r>
        <w:rPr>
          <w:szCs w:val="23"/>
          <w:lang w:val="en-US"/>
        </w:rPr>
        <w:tab/>
      </w:r>
    </w:p>
    <w:p w:rsidR="00F47430" w:rsidRPr="00042943" w:rsidRDefault="00F47430" w:rsidP="00F47430">
      <w:pPr>
        <w:pStyle w:val="Default"/>
        <w:rPr>
          <w:b/>
          <w:szCs w:val="23"/>
          <w:lang w:val="en-US"/>
        </w:rPr>
      </w:pPr>
    </w:p>
    <w:p w:rsidR="00F47430" w:rsidRPr="00042943" w:rsidRDefault="00F47430" w:rsidP="00F47430">
      <w:pPr>
        <w:pStyle w:val="Default"/>
        <w:rPr>
          <w:b/>
          <w:szCs w:val="23"/>
          <w:lang w:val="en-US"/>
        </w:rPr>
      </w:pPr>
    </w:p>
    <w:p w:rsidR="00F47430" w:rsidRDefault="00F47430" w:rsidP="00F47430">
      <w:pPr>
        <w:pStyle w:val="Default"/>
        <w:jc w:val="right"/>
        <w:rPr>
          <w:b/>
          <w:szCs w:val="23"/>
          <w:lang w:val="en-US"/>
        </w:rPr>
      </w:pPr>
      <w:r>
        <w:rPr>
          <w:b/>
          <w:szCs w:val="23"/>
          <w:lang w:val="en-US"/>
        </w:rPr>
        <w:lastRenderedPageBreak/>
        <w:t>Prof. José A. Sahel</w:t>
      </w:r>
    </w:p>
    <w:p w:rsidR="00F47430" w:rsidRDefault="00F47430" w:rsidP="00F47430">
      <w:pPr>
        <w:pStyle w:val="Default"/>
        <w:jc w:val="right"/>
        <w:rPr>
          <w:szCs w:val="23"/>
          <w:lang w:val="en-US"/>
        </w:rPr>
      </w:pPr>
      <w:r w:rsidRPr="00F47430">
        <w:rPr>
          <w:szCs w:val="23"/>
          <w:lang w:val="en-US"/>
        </w:rPr>
        <w:t xml:space="preserve">Centre </w:t>
      </w:r>
      <w:proofErr w:type="spellStart"/>
      <w:r w:rsidRPr="00F47430">
        <w:rPr>
          <w:szCs w:val="23"/>
          <w:lang w:val="en-US"/>
        </w:rPr>
        <w:t>Hospitalier</w:t>
      </w:r>
      <w:proofErr w:type="spellEnd"/>
      <w:r w:rsidRPr="00F47430">
        <w:rPr>
          <w:szCs w:val="23"/>
          <w:lang w:val="en-US"/>
        </w:rPr>
        <w:t xml:space="preserve"> Natio</w:t>
      </w:r>
      <w:r>
        <w:rPr>
          <w:szCs w:val="23"/>
          <w:lang w:val="en-US"/>
        </w:rPr>
        <w:t xml:space="preserve">nal </w:t>
      </w:r>
      <w:proofErr w:type="spellStart"/>
      <w:r>
        <w:rPr>
          <w:szCs w:val="23"/>
          <w:lang w:val="en-US"/>
        </w:rPr>
        <w:t>d'Ophtalmologie</w:t>
      </w:r>
      <w:proofErr w:type="spellEnd"/>
      <w:r>
        <w:rPr>
          <w:szCs w:val="23"/>
          <w:lang w:val="en-US"/>
        </w:rPr>
        <w:t xml:space="preserve"> des </w:t>
      </w:r>
      <w:proofErr w:type="spellStart"/>
      <w:r>
        <w:rPr>
          <w:szCs w:val="23"/>
          <w:lang w:val="en-US"/>
        </w:rPr>
        <w:t>Quinze</w:t>
      </w:r>
      <w:proofErr w:type="spellEnd"/>
    </w:p>
    <w:p w:rsidR="00F47430" w:rsidRPr="00F47430" w:rsidRDefault="00F47430" w:rsidP="00F47430">
      <w:pPr>
        <w:pStyle w:val="Default"/>
        <w:jc w:val="right"/>
        <w:rPr>
          <w:szCs w:val="23"/>
          <w:lang w:val="en-US"/>
        </w:rPr>
      </w:pPr>
      <w:r w:rsidRPr="00F47430">
        <w:rPr>
          <w:szCs w:val="23"/>
          <w:lang w:val="en-US"/>
        </w:rPr>
        <w:t>Paris, France</w:t>
      </w:r>
    </w:p>
    <w:p w:rsidR="00F47430" w:rsidRPr="00F47430" w:rsidRDefault="00F47430" w:rsidP="00F47430">
      <w:pPr>
        <w:pStyle w:val="Default"/>
        <w:rPr>
          <w:szCs w:val="23"/>
          <w:lang w:val="en-US"/>
        </w:rPr>
        <w:sectPr w:rsidR="00F47430" w:rsidRPr="00F47430" w:rsidSect="00132525">
          <w:pgSz w:w="11907" w:h="16840" w:code="9"/>
          <w:pgMar w:top="1134" w:right="1134" w:bottom="1134" w:left="1134" w:header="709" w:footer="709" w:gutter="0"/>
          <w:cols w:num="2" w:space="3"/>
          <w:docGrid w:linePitch="360"/>
        </w:sectPr>
      </w:pPr>
    </w:p>
    <w:p w:rsidR="00F47430" w:rsidRPr="00132525" w:rsidRDefault="00F47430" w:rsidP="00F47430">
      <w:pPr>
        <w:pStyle w:val="Default"/>
        <w:rPr>
          <w:b/>
          <w:szCs w:val="23"/>
          <w:lang w:val="en-US"/>
        </w:rPr>
      </w:pPr>
    </w:p>
    <w:p w:rsidR="00F47430" w:rsidRPr="00132525" w:rsidRDefault="00F47430" w:rsidP="00F47430">
      <w:pPr>
        <w:pStyle w:val="Default"/>
        <w:rPr>
          <w:b/>
          <w:szCs w:val="23"/>
          <w:lang w:val="en-US"/>
        </w:rPr>
      </w:pPr>
    </w:p>
    <w:p w:rsidR="00F47430" w:rsidRDefault="00F47430" w:rsidP="00F47430">
      <w:pPr>
        <w:pStyle w:val="Default"/>
        <w:rPr>
          <w:b/>
          <w:szCs w:val="23"/>
          <w:lang w:val="en-US"/>
        </w:rPr>
      </w:pPr>
    </w:p>
    <w:p w:rsidR="00F47430" w:rsidRPr="00132525" w:rsidRDefault="00F47430" w:rsidP="00F47430">
      <w:pPr>
        <w:pStyle w:val="Default"/>
        <w:rPr>
          <w:b/>
          <w:szCs w:val="23"/>
          <w:lang w:val="en-US"/>
        </w:rPr>
      </w:pPr>
    </w:p>
    <w:p w:rsidR="00F47430" w:rsidRPr="00F47430" w:rsidRDefault="00F47430" w:rsidP="00F47430">
      <w:pPr>
        <w:jc w:val="both"/>
        <w:rPr>
          <w:rFonts w:ascii="Arial" w:hAnsi="Arial" w:cs="Arial"/>
          <w:sz w:val="24"/>
          <w:szCs w:val="23"/>
          <w:lang w:val="en-US"/>
        </w:rPr>
      </w:pPr>
      <w:r w:rsidRPr="00F47430">
        <w:rPr>
          <w:rFonts w:ascii="Arial" w:hAnsi="Arial" w:cs="Arial"/>
          <w:sz w:val="24"/>
          <w:szCs w:val="23"/>
          <w:lang w:val="en-US"/>
        </w:rPr>
        <w:t xml:space="preserve">In retinitis </w:t>
      </w:r>
      <w:proofErr w:type="spellStart"/>
      <w:r w:rsidRPr="00F47430">
        <w:rPr>
          <w:rFonts w:ascii="Arial" w:hAnsi="Arial" w:cs="Arial"/>
          <w:sz w:val="24"/>
          <w:szCs w:val="23"/>
          <w:lang w:val="en-US"/>
        </w:rPr>
        <w:t>pigmentosa</w:t>
      </w:r>
      <w:proofErr w:type="spellEnd"/>
      <w:r w:rsidRPr="00F47430">
        <w:rPr>
          <w:rFonts w:ascii="Arial" w:hAnsi="Arial" w:cs="Arial"/>
          <w:sz w:val="24"/>
          <w:szCs w:val="23"/>
          <w:lang w:val="en-US"/>
        </w:rPr>
        <w:t xml:space="preserve">, the loss of light-adapted visual responses is the key event leading to blindness. Preservation or partial restoration of impaired cone function offers very promising perspectives based on </w:t>
      </w:r>
      <w:proofErr w:type="spellStart"/>
      <w:r w:rsidRPr="00F47430">
        <w:rPr>
          <w:rFonts w:ascii="Arial" w:hAnsi="Arial" w:cs="Arial"/>
          <w:sz w:val="24"/>
          <w:szCs w:val="23"/>
          <w:lang w:val="en-US"/>
        </w:rPr>
        <w:t>neuroprotection</w:t>
      </w:r>
      <w:proofErr w:type="spellEnd"/>
      <w:r w:rsidRPr="00F47430">
        <w:rPr>
          <w:rFonts w:ascii="Arial" w:hAnsi="Arial" w:cs="Arial"/>
          <w:sz w:val="24"/>
          <w:szCs w:val="23"/>
          <w:lang w:val="en-US"/>
        </w:rPr>
        <w:t xml:space="preserve">, prosthetics or </w:t>
      </w:r>
      <w:proofErr w:type="spellStart"/>
      <w:r w:rsidRPr="00F47430">
        <w:rPr>
          <w:rFonts w:ascii="Arial" w:hAnsi="Arial" w:cs="Arial"/>
          <w:sz w:val="24"/>
          <w:szCs w:val="23"/>
          <w:lang w:val="en-US"/>
        </w:rPr>
        <w:t>optogenetics</w:t>
      </w:r>
      <w:proofErr w:type="spellEnd"/>
      <w:r w:rsidRPr="00F47430">
        <w:rPr>
          <w:rFonts w:ascii="Arial" w:hAnsi="Arial" w:cs="Arial"/>
          <w:sz w:val="24"/>
          <w:szCs w:val="23"/>
          <w:lang w:val="en-US"/>
        </w:rPr>
        <w:t>. These involve the implementation of validated methods for assessing the morphological and functional status of cone photoreceptors in affected patients. In this presentation we shall describe the potential strategies to protect or restore cone function, our clinical experience in high resolution imaging of these cells, and methods to assess reliably and enhance the impact of such innovative therapies in daily life.</w:t>
      </w:r>
    </w:p>
    <w:p w:rsidR="00F47430" w:rsidRPr="00F47430" w:rsidRDefault="00F47430" w:rsidP="00F47430">
      <w:pPr>
        <w:jc w:val="both"/>
        <w:rPr>
          <w:rFonts w:ascii="Arial" w:hAnsi="Arial" w:cs="Arial"/>
          <w:sz w:val="24"/>
          <w:szCs w:val="23"/>
          <w:lang w:val="en-US"/>
        </w:rPr>
      </w:pPr>
      <w:r w:rsidRPr="00F47430">
        <w:rPr>
          <w:rFonts w:ascii="Arial" w:hAnsi="Arial" w:cs="Arial"/>
          <w:sz w:val="24"/>
          <w:szCs w:val="23"/>
          <w:lang w:val="en-US"/>
        </w:rPr>
        <w:t>We demonstrated that cone cell function loss might result from the loss of expression of Rod-derived Cone Viability Factor (</w:t>
      </w:r>
      <w:proofErr w:type="spellStart"/>
      <w:r w:rsidRPr="00F47430">
        <w:rPr>
          <w:rFonts w:ascii="Arial" w:hAnsi="Arial" w:cs="Arial"/>
          <w:sz w:val="24"/>
          <w:szCs w:val="23"/>
          <w:lang w:val="en-US"/>
        </w:rPr>
        <w:t>RdCVF</w:t>
      </w:r>
      <w:proofErr w:type="spellEnd"/>
      <w:r w:rsidRPr="00F47430">
        <w:rPr>
          <w:rFonts w:ascii="Arial" w:hAnsi="Arial" w:cs="Arial"/>
          <w:sz w:val="24"/>
          <w:szCs w:val="23"/>
          <w:lang w:val="en-US"/>
        </w:rPr>
        <w:t>) consecutive to</w:t>
      </w:r>
      <w:bookmarkStart w:id="0" w:name="_GoBack"/>
      <w:bookmarkEnd w:id="0"/>
      <w:r w:rsidRPr="00F47430">
        <w:rPr>
          <w:rFonts w:ascii="Arial" w:hAnsi="Arial" w:cs="Arial"/>
          <w:sz w:val="24"/>
          <w:szCs w:val="23"/>
          <w:lang w:val="en-US"/>
        </w:rPr>
        <w:t xml:space="preserve"> the degeneration of rod photoreceptor cells directly affected by causative mutations. Administration of </w:t>
      </w:r>
      <w:proofErr w:type="spellStart"/>
      <w:r w:rsidRPr="00F47430">
        <w:rPr>
          <w:rFonts w:ascii="Arial" w:hAnsi="Arial" w:cs="Arial"/>
          <w:sz w:val="24"/>
          <w:szCs w:val="23"/>
          <w:lang w:val="en-US"/>
        </w:rPr>
        <w:t>RdCVF</w:t>
      </w:r>
      <w:proofErr w:type="spellEnd"/>
      <w:r w:rsidRPr="00F47430">
        <w:rPr>
          <w:rFonts w:ascii="Arial" w:hAnsi="Arial" w:cs="Arial"/>
          <w:sz w:val="24"/>
          <w:szCs w:val="23"/>
          <w:lang w:val="en-US"/>
        </w:rPr>
        <w:t xml:space="preserve">, irrespective of the gene defect, induced in relevant animal models a strong preservation of cone cell function related to the maintenance of rod outer segments (reviewed in </w:t>
      </w:r>
      <w:proofErr w:type="spellStart"/>
      <w:r w:rsidRPr="00F47430">
        <w:rPr>
          <w:rFonts w:ascii="Arial" w:hAnsi="Arial" w:cs="Arial"/>
          <w:sz w:val="24"/>
          <w:szCs w:val="23"/>
          <w:lang w:val="en-US"/>
        </w:rPr>
        <w:t>Leveillard</w:t>
      </w:r>
      <w:proofErr w:type="spellEnd"/>
      <w:r w:rsidRPr="00F47430">
        <w:rPr>
          <w:rFonts w:ascii="Arial" w:hAnsi="Arial" w:cs="Arial"/>
          <w:sz w:val="24"/>
          <w:szCs w:val="23"/>
          <w:lang w:val="en-US"/>
        </w:rPr>
        <w:t xml:space="preserve"> and Sahel, 2010). </w:t>
      </w:r>
    </w:p>
    <w:p w:rsidR="00F47430" w:rsidRPr="00F47430" w:rsidRDefault="00F47430" w:rsidP="00F47430">
      <w:pPr>
        <w:jc w:val="both"/>
        <w:rPr>
          <w:rFonts w:ascii="Arial" w:hAnsi="Arial" w:cs="Arial"/>
          <w:sz w:val="24"/>
          <w:szCs w:val="23"/>
          <w:lang w:val="en-US"/>
        </w:rPr>
      </w:pPr>
      <w:r w:rsidRPr="00F47430">
        <w:rPr>
          <w:rFonts w:ascii="Arial" w:hAnsi="Arial" w:cs="Arial"/>
          <w:sz w:val="24"/>
          <w:szCs w:val="23"/>
          <w:lang w:val="en-US"/>
        </w:rPr>
        <w:t xml:space="preserve">Recently, work conducted by </w:t>
      </w:r>
      <w:proofErr w:type="spellStart"/>
      <w:r w:rsidRPr="00F47430">
        <w:rPr>
          <w:rFonts w:ascii="Arial" w:hAnsi="Arial" w:cs="Arial"/>
          <w:sz w:val="24"/>
          <w:szCs w:val="23"/>
          <w:lang w:val="en-US"/>
        </w:rPr>
        <w:t>Botond</w:t>
      </w:r>
      <w:proofErr w:type="spellEnd"/>
      <w:r w:rsidRPr="00F47430">
        <w:rPr>
          <w:rFonts w:ascii="Arial" w:hAnsi="Arial" w:cs="Arial"/>
          <w:sz w:val="24"/>
          <w:szCs w:val="23"/>
          <w:lang w:val="en-US"/>
        </w:rPr>
        <w:t xml:space="preserve"> </w:t>
      </w:r>
      <w:proofErr w:type="spellStart"/>
      <w:r w:rsidRPr="00F47430">
        <w:rPr>
          <w:rFonts w:ascii="Arial" w:hAnsi="Arial" w:cs="Arial"/>
          <w:sz w:val="24"/>
          <w:szCs w:val="23"/>
          <w:lang w:val="en-US"/>
        </w:rPr>
        <w:t>Roska</w:t>
      </w:r>
      <w:proofErr w:type="spellEnd"/>
      <w:r w:rsidRPr="00F47430">
        <w:rPr>
          <w:rFonts w:ascii="Arial" w:hAnsi="Arial" w:cs="Arial"/>
          <w:sz w:val="24"/>
          <w:szCs w:val="23"/>
          <w:lang w:val="en-US"/>
        </w:rPr>
        <w:t xml:space="preserve"> and our group showed that in advanced cases, cone cell bodies of dormant cones can be reactivated by </w:t>
      </w:r>
      <w:proofErr w:type="spellStart"/>
      <w:r w:rsidRPr="00F47430">
        <w:rPr>
          <w:rFonts w:ascii="Arial" w:hAnsi="Arial" w:cs="Arial"/>
          <w:sz w:val="24"/>
          <w:szCs w:val="23"/>
          <w:lang w:val="en-US"/>
        </w:rPr>
        <w:t>vectorization</w:t>
      </w:r>
      <w:proofErr w:type="spellEnd"/>
      <w:r w:rsidRPr="00F47430">
        <w:rPr>
          <w:rFonts w:ascii="Arial" w:hAnsi="Arial" w:cs="Arial"/>
          <w:sz w:val="24"/>
          <w:szCs w:val="23"/>
          <w:lang w:val="en-US"/>
        </w:rPr>
        <w:t xml:space="preserve"> of </w:t>
      </w:r>
      <w:proofErr w:type="spellStart"/>
      <w:r w:rsidRPr="00F47430">
        <w:rPr>
          <w:rFonts w:ascii="Arial" w:hAnsi="Arial" w:cs="Arial"/>
          <w:sz w:val="24"/>
          <w:szCs w:val="23"/>
          <w:lang w:val="en-US"/>
        </w:rPr>
        <w:t>halorhodopsins</w:t>
      </w:r>
      <w:proofErr w:type="spellEnd"/>
      <w:r w:rsidRPr="00F47430">
        <w:rPr>
          <w:rFonts w:ascii="Arial" w:hAnsi="Arial" w:cs="Arial"/>
          <w:sz w:val="24"/>
          <w:szCs w:val="23"/>
          <w:lang w:val="en-US"/>
        </w:rPr>
        <w:t>, i.e. chloride-pumps activated by light, thus restoring cone function through adequate stimulation (</w:t>
      </w:r>
      <w:proofErr w:type="spellStart"/>
      <w:r w:rsidRPr="00F47430">
        <w:rPr>
          <w:rFonts w:ascii="Arial" w:hAnsi="Arial" w:cs="Arial"/>
          <w:sz w:val="24"/>
          <w:szCs w:val="23"/>
          <w:lang w:val="en-US"/>
        </w:rPr>
        <w:t>Busskamp</w:t>
      </w:r>
      <w:proofErr w:type="spellEnd"/>
      <w:r w:rsidRPr="00F47430">
        <w:rPr>
          <w:rFonts w:ascii="Arial" w:hAnsi="Arial" w:cs="Arial"/>
          <w:sz w:val="24"/>
          <w:szCs w:val="23"/>
          <w:lang w:val="en-US"/>
        </w:rPr>
        <w:t xml:space="preserve"> et al, 2010).</w:t>
      </w:r>
    </w:p>
    <w:p w:rsidR="00F47430" w:rsidRPr="00F47430" w:rsidRDefault="00F47430" w:rsidP="00F47430">
      <w:pPr>
        <w:jc w:val="both"/>
        <w:rPr>
          <w:rFonts w:ascii="Arial" w:hAnsi="Arial" w:cs="Arial"/>
          <w:sz w:val="24"/>
          <w:szCs w:val="23"/>
          <w:lang w:val="en-US"/>
        </w:rPr>
      </w:pPr>
      <w:r w:rsidRPr="00F47430">
        <w:rPr>
          <w:rFonts w:ascii="Arial" w:hAnsi="Arial" w:cs="Arial"/>
          <w:sz w:val="24"/>
          <w:szCs w:val="23"/>
          <w:lang w:val="en-US"/>
        </w:rPr>
        <w:t>These experiments bring strong emphasis on the assessment of the status of cone photoreceptors during the course of the disease. We have followed longitudinally over the past years a cohort of over 3000 patients and studied the morphology and function of cone photoreceptors, using novel high resolution imaging technologies and functional testing such as adaptive optics and segmentation of spectral-domain optical coherence tomography images.</w:t>
      </w:r>
    </w:p>
    <w:p w:rsidR="00F47430" w:rsidRPr="00F47430" w:rsidRDefault="00F47430" w:rsidP="00F47430">
      <w:pPr>
        <w:jc w:val="both"/>
        <w:rPr>
          <w:rFonts w:ascii="Arial" w:hAnsi="Arial" w:cs="Arial"/>
          <w:sz w:val="24"/>
          <w:szCs w:val="23"/>
          <w:lang w:val="en-US"/>
        </w:rPr>
      </w:pPr>
      <w:r w:rsidRPr="00F47430">
        <w:rPr>
          <w:rFonts w:ascii="Arial" w:hAnsi="Arial" w:cs="Arial"/>
          <w:sz w:val="24"/>
          <w:szCs w:val="23"/>
          <w:lang w:val="en-US"/>
        </w:rPr>
        <w:t xml:space="preserve">We show that cone outer segment degeneration during the course of the disease can be documented and that patients suitable for clinical trials testing </w:t>
      </w:r>
      <w:proofErr w:type="spellStart"/>
      <w:r w:rsidRPr="00F47430">
        <w:rPr>
          <w:rFonts w:ascii="Arial" w:hAnsi="Arial" w:cs="Arial"/>
          <w:sz w:val="24"/>
          <w:szCs w:val="23"/>
          <w:lang w:val="en-US"/>
        </w:rPr>
        <w:t>neuroprotection</w:t>
      </w:r>
      <w:proofErr w:type="spellEnd"/>
      <w:r w:rsidRPr="00F47430">
        <w:rPr>
          <w:rFonts w:ascii="Arial" w:hAnsi="Arial" w:cs="Arial"/>
          <w:sz w:val="24"/>
          <w:szCs w:val="23"/>
          <w:lang w:val="en-US"/>
        </w:rPr>
        <w:t xml:space="preserve"> or </w:t>
      </w:r>
      <w:proofErr w:type="spellStart"/>
      <w:r w:rsidRPr="00F47430">
        <w:rPr>
          <w:rFonts w:ascii="Arial" w:hAnsi="Arial" w:cs="Arial"/>
          <w:sz w:val="24"/>
          <w:szCs w:val="23"/>
          <w:lang w:val="en-US"/>
        </w:rPr>
        <w:t>optogenetics</w:t>
      </w:r>
      <w:proofErr w:type="spellEnd"/>
      <w:r w:rsidRPr="00F47430">
        <w:rPr>
          <w:rFonts w:ascii="Arial" w:hAnsi="Arial" w:cs="Arial"/>
          <w:sz w:val="24"/>
          <w:szCs w:val="23"/>
          <w:lang w:val="en-US"/>
        </w:rPr>
        <w:t xml:space="preserve"> can be selected on the basis of the presence of cone cell bodies and, respectively, the shortening or lack of cone outer segments. A comprehensive personalized set of therapeutic strategies can be tailored on this basis. Such advances, unprecedented in the field of currently untreatable retinal diseases, offer hope for visual rehabilitation. </w:t>
      </w:r>
    </w:p>
    <w:p w:rsidR="00F47430" w:rsidRPr="00F47430" w:rsidRDefault="00F47430" w:rsidP="00F47430">
      <w:pPr>
        <w:jc w:val="both"/>
        <w:rPr>
          <w:rFonts w:ascii="Arial" w:hAnsi="Arial" w:cs="Arial"/>
          <w:sz w:val="24"/>
          <w:szCs w:val="23"/>
          <w:lang w:val="en-US"/>
        </w:rPr>
      </w:pPr>
      <w:r w:rsidRPr="00F47430">
        <w:rPr>
          <w:rFonts w:ascii="Arial" w:hAnsi="Arial" w:cs="Arial"/>
          <w:sz w:val="24"/>
          <w:szCs w:val="23"/>
          <w:lang w:val="en-US"/>
        </w:rPr>
        <w:t xml:space="preserve">In order to evaluate and document such functional outcomes, we have developed novel tools for assessing reproducibly visual impairment and restoration, as well as palliative aids and associated training protocols. These include the development of virtual simulators, the construction of versatile environments reproducing daily life situations (e.g. apartment, street, shop, obstacles…) and the implementation of monitoring tools (captors, cameras, </w:t>
      </w:r>
      <w:proofErr w:type="spellStart"/>
      <w:r w:rsidRPr="00F47430">
        <w:rPr>
          <w:rFonts w:ascii="Arial" w:hAnsi="Arial" w:cs="Arial"/>
          <w:sz w:val="24"/>
          <w:szCs w:val="23"/>
          <w:lang w:val="en-US"/>
        </w:rPr>
        <w:t>multiparametric</w:t>
      </w:r>
      <w:proofErr w:type="spellEnd"/>
      <w:r w:rsidRPr="00F47430">
        <w:rPr>
          <w:rFonts w:ascii="Arial" w:hAnsi="Arial" w:cs="Arial"/>
          <w:sz w:val="24"/>
          <w:szCs w:val="23"/>
          <w:lang w:val="en-US"/>
        </w:rPr>
        <w:t xml:space="preserve"> </w:t>
      </w:r>
      <w:proofErr w:type="spellStart"/>
      <w:r w:rsidRPr="00F47430">
        <w:rPr>
          <w:rFonts w:ascii="Arial" w:hAnsi="Arial" w:cs="Arial"/>
          <w:sz w:val="24"/>
          <w:szCs w:val="23"/>
          <w:lang w:val="en-US"/>
        </w:rPr>
        <w:t>modelling</w:t>
      </w:r>
      <w:proofErr w:type="spellEnd"/>
      <w:r w:rsidRPr="00F47430">
        <w:rPr>
          <w:rFonts w:ascii="Arial" w:hAnsi="Arial" w:cs="Arial"/>
          <w:sz w:val="24"/>
          <w:szCs w:val="23"/>
          <w:lang w:val="en-US"/>
        </w:rPr>
        <w:t>).</w:t>
      </w:r>
    </w:p>
    <w:p w:rsidR="00F47430" w:rsidRPr="00F47430" w:rsidRDefault="00F47430" w:rsidP="00F47430">
      <w:pPr>
        <w:jc w:val="both"/>
        <w:rPr>
          <w:rFonts w:ascii="Arial" w:hAnsi="Arial" w:cs="Arial"/>
          <w:sz w:val="24"/>
          <w:szCs w:val="23"/>
          <w:lang w:val="en-US"/>
        </w:rPr>
      </w:pPr>
    </w:p>
    <w:p w:rsidR="00F47430" w:rsidRPr="00F47430" w:rsidRDefault="00F47430" w:rsidP="00F47430">
      <w:pPr>
        <w:jc w:val="both"/>
        <w:rPr>
          <w:rFonts w:ascii="Arial" w:hAnsi="Arial" w:cs="Arial"/>
          <w:sz w:val="24"/>
          <w:szCs w:val="23"/>
          <w:lang w:val="en-US"/>
        </w:rPr>
      </w:pPr>
      <w:proofErr w:type="spellStart"/>
      <w:proofErr w:type="gramStart"/>
      <w:r w:rsidRPr="00F47430">
        <w:rPr>
          <w:rFonts w:ascii="Arial" w:hAnsi="Arial" w:cs="Arial"/>
          <w:sz w:val="24"/>
          <w:szCs w:val="23"/>
          <w:lang w:val="en-US"/>
        </w:rPr>
        <w:t>Léveillard</w:t>
      </w:r>
      <w:proofErr w:type="spellEnd"/>
      <w:r w:rsidRPr="00F47430">
        <w:rPr>
          <w:rFonts w:ascii="Arial" w:hAnsi="Arial" w:cs="Arial"/>
          <w:sz w:val="24"/>
          <w:szCs w:val="23"/>
          <w:lang w:val="en-US"/>
        </w:rPr>
        <w:t xml:space="preserve"> T, Sahel JA.</w:t>
      </w:r>
      <w:proofErr w:type="gramEnd"/>
      <w:r w:rsidRPr="00F47430">
        <w:rPr>
          <w:rFonts w:ascii="Arial" w:hAnsi="Arial" w:cs="Arial"/>
          <w:sz w:val="24"/>
          <w:szCs w:val="23"/>
          <w:lang w:val="en-US"/>
        </w:rPr>
        <w:t xml:space="preserve"> Rod-derived cone viability factor for treating blinding diseases: from clinic to redox signaling. </w:t>
      </w:r>
      <w:proofErr w:type="spellStart"/>
      <w:r w:rsidRPr="00F47430">
        <w:rPr>
          <w:rFonts w:ascii="Arial" w:hAnsi="Arial" w:cs="Arial"/>
          <w:sz w:val="24"/>
          <w:szCs w:val="23"/>
          <w:lang w:val="en-US"/>
        </w:rPr>
        <w:t>Sci</w:t>
      </w:r>
      <w:proofErr w:type="spellEnd"/>
      <w:r w:rsidRPr="00F47430">
        <w:rPr>
          <w:rFonts w:ascii="Arial" w:hAnsi="Arial" w:cs="Arial"/>
          <w:sz w:val="24"/>
          <w:szCs w:val="23"/>
          <w:lang w:val="en-US"/>
        </w:rPr>
        <w:t xml:space="preserve"> </w:t>
      </w:r>
      <w:proofErr w:type="spellStart"/>
      <w:r w:rsidRPr="00F47430">
        <w:rPr>
          <w:rFonts w:ascii="Arial" w:hAnsi="Arial" w:cs="Arial"/>
          <w:sz w:val="24"/>
          <w:szCs w:val="23"/>
          <w:lang w:val="en-US"/>
        </w:rPr>
        <w:t>Transl</w:t>
      </w:r>
      <w:proofErr w:type="spellEnd"/>
      <w:r w:rsidRPr="00F47430">
        <w:rPr>
          <w:rFonts w:ascii="Arial" w:hAnsi="Arial" w:cs="Arial"/>
          <w:sz w:val="24"/>
          <w:szCs w:val="23"/>
          <w:lang w:val="en-US"/>
        </w:rPr>
        <w:t xml:space="preserve"> Med. 2010 Apr 7</w:t>
      </w:r>
      <w:proofErr w:type="gramStart"/>
      <w:r w:rsidRPr="00F47430">
        <w:rPr>
          <w:rFonts w:ascii="Arial" w:hAnsi="Arial" w:cs="Arial"/>
          <w:sz w:val="24"/>
          <w:szCs w:val="23"/>
          <w:lang w:val="en-US"/>
        </w:rPr>
        <w:t>;2</w:t>
      </w:r>
      <w:proofErr w:type="gramEnd"/>
      <w:r w:rsidRPr="00F47430">
        <w:rPr>
          <w:rFonts w:ascii="Arial" w:hAnsi="Arial" w:cs="Arial"/>
          <w:sz w:val="24"/>
          <w:szCs w:val="23"/>
          <w:lang w:val="en-US"/>
        </w:rPr>
        <w:t>(26):26ps16.</w:t>
      </w:r>
    </w:p>
    <w:p w:rsidR="00526012" w:rsidRPr="00F47430" w:rsidRDefault="00F47430" w:rsidP="00F47430">
      <w:pPr>
        <w:jc w:val="both"/>
        <w:rPr>
          <w:lang w:val="en-US"/>
        </w:rPr>
      </w:pPr>
      <w:proofErr w:type="spellStart"/>
      <w:r w:rsidRPr="00F47430">
        <w:rPr>
          <w:rFonts w:ascii="Arial" w:hAnsi="Arial" w:cs="Arial"/>
          <w:sz w:val="24"/>
          <w:szCs w:val="23"/>
          <w:lang w:val="en-US"/>
        </w:rPr>
        <w:t>Busskamp</w:t>
      </w:r>
      <w:proofErr w:type="spellEnd"/>
      <w:r w:rsidRPr="00F47430">
        <w:rPr>
          <w:rFonts w:ascii="Arial" w:hAnsi="Arial" w:cs="Arial"/>
          <w:sz w:val="24"/>
          <w:szCs w:val="23"/>
          <w:lang w:val="en-US"/>
        </w:rPr>
        <w:t xml:space="preserve"> V et al. Genetic reactivation of cone photoreceptors restores visual responses in retinitis </w:t>
      </w:r>
      <w:proofErr w:type="spellStart"/>
      <w:r w:rsidRPr="00F47430">
        <w:rPr>
          <w:rFonts w:ascii="Arial" w:hAnsi="Arial" w:cs="Arial"/>
          <w:sz w:val="24"/>
          <w:szCs w:val="23"/>
          <w:lang w:val="en-US"/>
        </w:rPr>
        <w:t>pigmentosa</w:t>
      </w:r>
      <w:proofErr w:type="spellEnd"/>
      <w:r w:rsidRPr="00F47430">
        <w:rPr>
          <w:rFonts w:ascii="Arial" w:hAnsi="Arial" w:cs="Arial"/>
          <w:sz w:val="24"/>
          <w:szCs w:val="23"/>
          <w:lang w:val="en-US"/>
        </w:rPr>
        <w:t xml:space="preserve">. </w:t>
      </w:r>
      <w:proofErr w:type="gramStart"/>
      <w:r w:rsidRPr="00F47430">
        <w:rPr>
          <w:rFonts w:ascii="Arial" w:hAnsi="Arial" w:cs="Arial"/>
          <w:sz w:val="24"/>
          <w:szCs w:val="23"/>
          <w:lang w:val="en-US"/>
        </w:rPr>
        <w:t>Science.</w:t>
      </w:r>
      <w:proofErr w:type="gramEnd"/>
      <w:r w:rsidRPr="00F47430">
        <w:rPr>
          <w:rFonts w:ascii="Arial" w:hAnsi="Arial" w:cs="Arial"/>
          <w:sz w:val="24"/>
          <w:szCs w:val="23"/>
          <w:lang w:val="en-US"/>
        </w:rPr>
        <w:t xml:space="preserve"> 2010 Jul 23</w:t>
      </w:r>
      <w:proofErr w:type="gramStart"/>
      <w:r w:rsidRPr="00F47430">
        <w:rPr>
          <w:rFonts w:ascii="Arial" w:hAnsi="Arial" w:cs="Arial"/>
          <w:sz w:val="24"/>
          <w:szCs w:val="23"/>
          <w:lang w:val="en-US"/>
        </w:rPr>
        <w:t>;329</w:t>
      </w:r>
      <w:proofErr w:type="gramEnd"/>
      <w:r w:rsidRPr="00F47430">
        <w:rPr>
          <w:rFonts w:ascii="Arial" w:hAnsi="Arial" w:cs="Arial"/>
          <w:sz w:val="24"/>
          <w:szCs w:val="23"/>
          <w:lang w:val="en-US"/>
        </w:rPr>
        <w:t>(5990):413-7.</w:t>
      </w:r>
    </w:p>
    <w:sectPr w:rsidR="00526012" w:rsidRPr="00F47430" w:rsidSect="00C92F6F">
      <w:type w:val="continuous"/>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430"/>
    <w:rsid w:val="00526012"/>
    <w:rsid w:val="00633897"/>
    <w:rsid w:val="00642A97"/>
    <w:rsid w:val="00B52193"/>
    <w:rsid w:val="00F474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4743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F47430"/>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4743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F4743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456</Words>
  <Characters>2879</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Interface GmbH &amp; Co KG</Company>
  <LinksUpToDate>false</LinksUpToDate>
  <CharactersWithSpaces>3329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Schulz</dc:creator>
  <cp:keywords/>
  <dc:description/>
  <cp:lastModifiedBy>Michaela Schulz</cp:lastModifiedBy>
  <cp:revision>1</cp:revision>
  <dcterms:created xsi:type="dcterms:W3CDTF">2012-07-03T09:27:00Z</dcterms:created>
  <dcterms:modified xsi:type="dcterms:W3CDTF">2012-07-03T09:28:00Z</dcterms:modified>
</cp:coreProperties>
</file>